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4B6" w:rsidP="386C011C" w:rsidRDefault="00C61678" w14:paraId="72DAD227" w14:textId="680712D7">
      <w:pPr>
        <w:pStyle w:val="Normal"/>
        <w:keepNext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line="240" w:lineRule="auto"/>
        <w:ind w:left="-2" w:hanging="0"/>
        <w:jc w:val="center"/>
        <w:rPr>
          <w:rFonts w:ascii="Arial" w:hAnsi="Arial" w:eastAsia="Arial" w:cs="Arial"/>
          <w:color w:val="000000"/>
          <w:sz w:val="20"/>
          <w:szCs w:val="20"/>
        </w:rPr>
      </w:pPr>
      <w:r w:rsidRPr="386C011C" w:rsidR="00C61678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KARTA KURSU</w:t>
      </w:r>
    </w:p>
    <w:p w:rsidR="00F164B6" w:rsidP="386C011C" w:rsidRDefault="00F164B6" w14:paraId="4FBD29DD" w14:textId="77777777" w14:noSpellErr="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line="240" w:lineRule="auto"/>
        <w:ind w:left="-2" w:hanging="0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26FBDB5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2719E96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F164B6" w:rsidTr="386C011C" w14:paraId="5ED784F7" w14:textId="77777777">
        <w:trPr>
          <w:trHeight w:val="380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="00F164B6" w:rsidRDefault="00C61678" w14:paraId="281BDDA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="00F164B6" w:rsidRDefault="00C61678" w14:paraId="5012085C" w14:textId="78B490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Historia współczesna hiszpańskiego obszaru językowego</w:t>
            </w:r>
          </w:p>
        </w:tc>
      </w:tr>
      <w:tr w:rsidRPr="008D6020" w:rsidR="00F164B6" w:rsidTr="386C011C" w14:paraId="6C5DFAE0" w14:textId="77777777">
        <w:trPr>
          <w:trHeight w:val="360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="00F164B6" w:rsidRDefault="00C61678" w14:paraId="0D14E5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672499" w:rsidR="00F164B6" w:rsidP="386C011C" w:rsidRDefault="00C61678" w14:paraId="75C39CA9" w14:textId="77777777" w14:noSpellErr="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60" w:after="60" w:line="240" w:lineRule="auto"/>
              <w:ind w:left="0" w:hanging="2"/>
              <w:jc w:val="center"/>
              <w:rPr>
                <w:rFonts w:ascii="Arial" w:hAnsi="Arial" w:eastAsia="Arial" w:cs="Arial"/>
                <w:i w:val="1"/>
                <w:iCs w:val="1"/>
                <w:color w:val="000000"/>
                <w:sz w:val="20"/>
                <w:szCs w:val="20"/>
                <w:lang w:val="en-GB"/>
              </w:rPr>
            </w:pPr>
            <w:r w:rsidRPr="386C011C" w:rsidR="00C61678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0"/>
                <w:szCs w:val="20"/>
                <w:lang w:val="en-GB"/>
              </w:rPr>
              <w:t>Contemporary History of Spain and Latin America</w:t>
            </w:r>
          </w:p>
        </w:tc>
      </w:tr>
    </w:tbl>
    <w:p w:rsidRPr="00672499" w:rsidR="00F164B6" w:rsidRDefault="00F164B6" w14:paraId="6C6E4A6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  <w:lang w:val="en-GB"/>
        </w:rPr>
      </w:pPr>
    </w:p>
    <w:tbl>
      <w:tblPr>
        <w:tblStyle w:val="a0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164B6" w:rsidTr="08D71A3A" w14:paraId="6B7C34C9" w14:textId="77777777"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="00F164B6" w:rsidRDefault="00C61678" w14:paraId="5E2921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F164B6" w:rsidP="08D71A3A" w:rsidRDefault="00672499" w14:paraId="6B08E4C2" w14:textId="23A717D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8D71A3A" w:rsidR="1A8CE86F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="00F164B6" w:rsidRDefault="00C61678" w14:paraId="4F3CD31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F164B6" w:rsidTr="08D71A3A" w14:paraId="03F59808" w14:textId="77777777">
        <w:trPr>
          <w:trHeight w:val="340"/>
        </w:trPr>
        <w:tc>
          <w:tcPr>
            <w:tcW w:w="3189" w:type="dxa"/>
            <w:vMerge/>
            <w:tcMar/>
            <w:vAlign w:val="center"/>
          </w:tcPr>
          <w:p w:rsidR="00F164B6" w:rsidRDefault="00F164B6" w14:paraId="1701EB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F164B6" w:rsidRDefault="00F164B6" w14:paraId="3FBEBC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F164B6" w:rsidP="08D71A3A" w:rsidRDefault="00962E23" w14:paraId="133F7198" w14:textId="6E81FA5A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8D71A3A" w:rsidR="26807D7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="00F164B6" w:rsidTr="08D71A3A" w14:paraId="499AFB54" w14:textId="77777777">
        <w:trPr>
          <w:trHeight w:val="40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F164B6" w:rsidRDefault="00F164B6" w14:paraId="7FD62D2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F164B6" w:rsidRDefault="00F164B6" w14:paraId="568EAD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F164B6" w:rsidRDefault="00F164B6" w14:paraId="3AAE3E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:rsidTr="08D71A3A" w14:paraId="58573E34" w14:textId="77777777"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="00F164B6" w:rsidRDefault="00C61678" w14:paraId="59A8B0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F164B6" w:rsidRDefault="00C61678" w14:paraId="377FDA8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="00F164B6" w:rsidRDefault="00F164B6" w14:paraId="3EEE55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25FA266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089F611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655D2B0A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248FD7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0531A2F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5C45AF8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Opis kursu (cele kształcenia)</w:t>
      </w:r>
    </w:p>
    <w:p w:rsidR="00F164B6" w:rsidRDefault="00F164B6" w14:paraId="786C9B8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1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F164B6" w14:paraId="2826A63B" w14:textId="77777777">
        <w:trPr>
          <w:trHeight w:val="1360"/>
        </w:trPr>
        <w:tc>
          <w:tcPr>
            <w:tcW w:w="9640" w:type="dxa"/>
          </w:tcPr>
          <w:p w:rsidR="00F164B6" w:rsidRDefault="004A48D5" w14:paraId="5F645BE7" w14:textId="20674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Celem tego kursu jest przedstawienie bardzo ogólnego przeglądu historii krajów Ameryki Łacińskiej i Hiszpanii. Omówienie w jednym kursie realiów historycznych tak wielu narodów jest nie tylko bardzo skomplikowane, ale być może niezbyt korzystne dla refleksji nad bogactwem i złożonością każdego regionu. Z tego powodu program wymaga wdrożenia strategii dydaktycznych, które mogą połączyć tak wiele historii. W związku z tym najbardziej realną opcją jest wykorzystanie skali czasowej opartej na wydarzeniach o największej międzynarodowej renomie (renoma i znaczenie to nie to samo), aby zapytać, co działo się w niektórych (kilku) krajach Ameryki Łacińskiej i Hiszpanii. Ramy czasowe będą obejmować XX wiek, choć z odniesieniem do różnych przeszłości, które łączą świat latynoamerykański i hiszpańsko-europejski. Tematy i treści zostały zorganizowane w taki sposób, aby prześledzić transatlantyckie mosty historyczne, mówiąc obrazowo, a tym samym nakreślić bardzo ogólny przegląd relacji ustanowionych przez oba kontynenty w globalnym koncercie historycznym XX wieku.</w:t>
            </w:r>
          </w:p>
        </w:tc>
      </w:tr>
    </w:tbl>
    <w:p w:rsidR="00F164B6" w:rsidRDefault="00F164B6" w14:paraId="6DC3DBD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0DD54F4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4B4F02A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Warunki wstępne</w:t>
      </w:r>
    </w:p>
    <w:p w:rsidR="00F164B6" w:rsidRDefault="00F164B6" w14:paraId="312497E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2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F164B6" w14:paraId="2807A465" w14:textId="77777777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:rsidR="00F164B6" w:rsidRDefault="00C61678" w14:paraId="63E55D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164B6" w:rsidRDefault="00C61678" w14:paraId="71356243" w14:textId="3A045A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Znajomość Historii Hiszpanii i Ameryki Łacińskiej z poprzednich lat.  Znajomość Polski i Powszechnej oraz Historii Kultury </w:t>
            </w:r>
            <w:r w:rsidR="00D5109D">
              <w:rPr>
                <w:rFonts w:ascii="Arial" w:hAnsi="Arial" w:eastAsia="Arial" w:cs="Arial"/>
                <w:color w:val="000000"/>
                <w:sz w:val="20"/>
                <w:szCs w:val="20"/>
              </w:rPr>
              <w:t>na poziomie podstawowym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.</w:t>
            </w:r>
          </w:p>
        </w:tc>
      </w:tr>
      <w:tr w:rsidR="00F164B6" w14:paraId="2093AF3F" w14:textId="77777777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:rsidR="00F164B6" w:rsidRDefault="00C61678" w14:paraId="483A7A8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164B6" w:rsidRDefault="00C61678" w14:paraId="067A69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Pogłębiona umiejętność czytania i analizy źródeł historycznych (listów, dokumentów, pamiętników, etc.) oraz naukowej literatury historycznej. </w:t>
            </w:r>
          </w:p>
          <w:p w:rsidR="00F164B6" w:rsidRDefault="00C61678" w14:paraId="211ED3C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Znajomość języka hiszpańskiego umożliwiająca czynne uczestnictwo w kursie</w:t>
            </w:r>
          </w:p>
          <w:p w:rsidR="00F164B6" w:rsidRDefault="00F164B6" w14:paraId="36B032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14:paraId="3157692C" w14:textId="77777777">
        <w:tc>
          <w:tcPr>
            <w:tcW w:w="1941" w:type="dxa"/>
            <w:shd w:val="clear" w:color="auto" w:fill="DBE5F1"/>
            <w:vAlign w:val="center"/>
          </w:tcPr>
          <w:p w:rsidR="00F164B6" w:rsidRDefault="00C61678" w14:paraId="5CB6CC6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164B6" w:rsidRDefault="00C61678" w14:paraId="6BCCF8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Kurs z Historii obszaru językowego I - III</w:t>
            </w:r>
          </w:p>
        </w:tc>
      </w:tr>
    </w:tbl>
    <w:p w:rsidR="00F164B6" w:rsidRDefault="00F164B6" w14:paraId="016A818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6DF8930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42E469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2E5717C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5E36F531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D694DD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BDC004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52048A0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132FF24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16E6F6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4B57612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07F89B2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67D266E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lastRenderedPageBreak/>
        <w:t>Efekty uczenia się</w:t>
      </w:r>
    </w:p>
    <w:p w:rsidR="00F164B6" w:rsidRDefault="00F164B6" w14:paraId="0DC3764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3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164B6" w14:paraId="06011690" w14:textId="77777777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164B6" w:rsidRDefault="00C61678" w14:paraId="1E9D560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164B6" w:rsidRDefault="00C61678" w14:paraId="14F9913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164B6" w:rsidRDefault="00C61678" w14:paraId="4545134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164B6" w14:paraId="22877800" w14:textId="77777777">
        <w:trPr>
          <w:trHeight w:val="1820"/>
        </w:trPr>
        <w:tc>
          <w:tcPr>
            <w:tcW w:w="1979" w:type="dxa"/>
            <w:vMerge/>
            <w:shd w:val="clear" w:color="auto" w:fill="DBE5F1"/>
            <w:vAlign w:val="center"/>
          </w:tcPr>
          <w:p w:rsidR="00F164B6" w:rsidRDefault="00F164B6" w14:paraId="72CB334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96" w:type="dxa"/>
          </w:tcPr>
          <w:p w:rsidR="00F164B6" w:rsidRDefault="00C61678" w14:paraId="787B27F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W01, znajomość Historii Hiszpanii i Ameryki Łacińskiej. </w:t>
            </w:r>
          </w:p>
          <w:p w:rsidR="00F164B6" w:rsidRDefault="00C61678" w14:paraId="27BA4F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W02, świadomość po</w:t>
            </w: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wiązań Hiszpanii i Historii Ameryki Łacińskiej omawianego okresu z dziejami Europy i świata oraz z innymi dziedzinami i dyscyplinami nauk humanistycznych (historią sztuki, literaturą, socjologią, polityką, etc.)</w:t>
            </w:r>
          </w:p>
          <w:p w:rsidR="00F164B6" w:rsidRDefault="00C61678" w14:paraId="318AE66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W03, opanowanie podstawowej terminologii historycznej z omawianego okresu</w:t>
            </w:r>
          </w:p>
          <w:p w:rsidR="00F164B6" w:rsidRDefault="00F164B6" w14:paraId="38B60C3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8E7BE2" w:rsidR="00F164B6" w:rsidRDefault="00C61678" w14:paraId="3B001537" w14:textId="6065D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  <w:r w:rsidRPr="008E7BE2">
              <w:rPr>
                <w:rFonts w:ascii="Arial" w:hAnsi="Arial" w:eastAsia="Arial" w:cs="Arial"/>
              </w:rPr>
              <w:t>2</w:t>
            </w: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_W0</w:t>
            </w:r>
            <w:r w:rsidRPr="008E7BE2" w:rsid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1</w:t>
            </w:r>
          </w:p>
          <w:p w:rsidRPr="008E7BE2" w:rsidR="00F164B6" w:rsidRDefault="00F164B6" w14:paraId="0D3ABA6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8E7BE2" w:rsidR="00F164B6" w:rsidRDefault="00C61678" w14:paraId="210D7F3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  <w:r w:rsidRPr="008E7BE2">
              <w:rPr>
                <w:rFonts w:ascii="Arial" w:hAnsi="Arial" w:eastAsia="Arial" w:cs="Arial"/>
              </w:rPr>
              <w:t>2</w:t>
            </w: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_W03</w:t>
            </w:r>
          </w:p>
          <w:p w:rsidRPr="008E7BE2" w:rsidR="00F164B6" w:rsidRDefault="00F164B6" w14:paraId="1DD7637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8E7BE2" w:rsidR="00F164B6" w:rsidRDefault="00F164B6" w14:paraId="6B0F7BF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8E7BE2" w:rsidR="00F164B6" w:rsidRDefault="00F164B6" w14:paraId="4C135AE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C61678" w14:paraId="1D92C47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  <w:r w:rsidRPr="008E7BE2">
              <w:rPr>
                <w:rFonts w:ascii="Arial" w:hAnsi="Arial" w:eastAsia="Arial" w:cs="Arial"/>
              </w:rPr>
              <w:t>2</w:t>
            </w: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_W02</w:t>
            </w:r>
          </w:p>
        </w:tc>
      </w:tr>
    </w:tbl>
    <w:p w:rsidR="00F164B6" w:rsidRDefault="00F164B6" w14:paraId="42135405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A8B0A3F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4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64B6" w14:paraId="2762A22D" w14:textId="77777777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164B6" w:rsidRDefault="00C61678" w14:paraId="431509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164B6" w:rsidRDefault="00C61678" w14:paraId="190EBC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164B6" w:rsidRDefault="00C61678" w14:paraId="6555CB3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164B6" w14:paraId="47F1F4D4" w14:textId="77777777">
        <w:trPr>
          <w:trHeight w:val="1480"/>
        </w:trPr>
        <w:tc>
          <w:tcPr>
            <w:tcW w:w="1985" w:type="dxa"/>
            <w:vMerge/>
            <w:shd w:val="clear" w:color="auto" w:fill="DBE5F1"/>
            <w:vAlign w:val="center"/>
          </w:tcPr>
          <w:p w:rsidR="00F164B6" w:rsidRDefault="00F164B6" w14:paraId="0DF468F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64B6" w:rsidRDefault="00C61678" w14:paraId="746BDD0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U01, zdobycie umiejętności wyszukiwania, analizowania, oceniania, selekcjonowania informacji z zakresu najnowszej Historii Ameryki Łacińskiej i Hiszpanii z wykorzystaniem różnych źródeł historycznych</w:t>
            </w:r>
          </w:p>
          <w:p w:rsidR="00F164B6" w:rsidRDefault="00C61678" w14:paraId="690AC4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U02, umiejętność samodzielnego zdobywania wiedzy historycznej i wykorzystywania jej w praktyce (np. podczas zwiedzania zabytków, muzeów, czytania prac literackich o tematyce historycznej, analizowania dzieł sztuki) </w:t>
            </w:r>
          </w:p>
          <w:p w:rsidR="00F164B6" w:rsidRDefault="00F164B6" w14:paraId="5D0E6DB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164B6" w:rsidRDefault="00C61678" w14:paraId="0D951D3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K2_U01</w:t>
            </w:r>
          </w:p>
          <w:p w:rsidR="00F164B6" w:rsidRDefault="00F164B6" w14:paraId="2C8F99B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1C097C5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32F3F48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C61678" w14:paraId="53F931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K2_U02</w:t>
            </w:r>
          </w:p>
          <w:p w:rsidR="00F164B6" w:rsidRDefault="00F164B6" w14:paraId="19E4D7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7B3D46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78CADDD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19AE1F4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284A384B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25E4F7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5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64B6" w14:paraId="5EBBD3F1" w14:textId="77777777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164B6" w:rsidRDefault="00C61678" w14:paraId="371B673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164B6" w:rsidRDefault="00C61678" w14:paraId="315475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164B6" w:rsidRDefault="00C61678" w14:paraId="1024617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164B6" w14:paraId="1E7C97A5" w14:textId="77777777">
        <w:trPr>
          <w:trHeight w:val="900"/>
        </w:trPr>
        <w:tc>
          <w:tcPr>
            <w:tcW w:w="1985" w:type="dxa"/>
            <w:vMerge/>
            <w:shd w:val="clear" w:color="auto" w:fill="DBE5F1"/>
            <w:vAlign w:val="center"/>
          </w:tcPr>
          <w:p w:rsidR="00F164B6" w:rsidRDefault="00F164B6" w14:paraId="66BEA9D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64B6" w:rsidRDefault="00C61678" w14:paraId="3B87003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K01, potrafi współdziałać i pracować w grupie, przyjmując w niej różne role.</w:t>
            </w:r>
          </w:p>
          <w:p w:rsidR="00F164B6" w:rsidRDefault="00C61678" w14:paraId="452006A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K02, potrafi odpowiednio określić priorytety służące realizacji określonego przez siebie lub innych zadania </w:t>
            </w:r>
          </w:p>
        </w:tc>
        <w:tc>
          <w:tcPr>
            <w:tcW w:w="2410" w:type="dxa"/>
          </w:tcPr>
          <w:p w:rsidR="00F164B6" w:rsidRDefault="00C61678" w14:paraId="78AC629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K2_K01</w:t>
            </w:r>
          </w:p>
          <w:p w:rsidR="00F164B6" w:rsidRDefault="00F164B6" w14:paraId="084E91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C61678" w14:paraId="493C044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K2_K04</w:t>
            </w:r>
          </w:p>
        </w:tc>
      </w:tr>
    </w:tbl>
    <w:p w:rsidR="00F164B6" w:rsidRDefault="00F164B6" w14:paraId="2CD260D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1DDA186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6"/>
        <w:tblW w:w="96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164B6" w14:paraId="663B5FCA" w14:textId="77777777">
        <w:trPr>
          <w:trHeight w:val="420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C61678" w14:paraId="52E6403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F164B6" w14:paraId="33E439CF" w14:textId="77777777">
        <w:trPr>
          <w:trHeight w:val="64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164B6" w:rsidRDefault="00C61678" w14:paraId="0ED6BD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164B6" w:rsidRDefault="00C61678" w14:paraId="5F2AC7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  <w:p w:rsidR="00F164B6" w:rsidRDefault="00C61678" w14:paraId="0736BD0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C61678" w14:paraId="59FF58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F164B6" w14:paraId="70A087CC" w14:textId="77777777">
        <w:trPr>
          <w:trHeight w:val="460"/>
        </w:trPr>
        <w:tc>
          <w:tcPr>
            <w:tcW w:w="1611" w:type="dxa"/>
            <w:vMerge/>
            <w:shd w:val="clear" w:color="auto" w:fill="DBE5F1"/>
            <w:vAlign w:val="center"/>
          </w:tcPr>
          <w:p w:rsidR="00F164B6" w:rsidRDefault="00F164B6" w14:paraId="558A9B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164B6" w:rsidRDefault="00F164B6" w14:paraId="418BE7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C61678" w14:paraId="2F45993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164B6" w:rsidRDefault="00F164B6" w14:paraId="1C14D51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164B6" w:rsidRDefault="00C61678" w14:paraId="663F869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164B6" w:rsidRDefault="00F164B6" w14:paraId="2E1BCB7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164B6" w:rsidRDefault="00C61678" w14:paraId="7B586D7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164B6" w:rsidRDefault="00F164B6" w14:paraId="0A6B552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164B6" w:rsidRDefault="00C61678" w14:paraId="52AE8F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164B6" w:rsidRDefault="00F164B6" w14:paraId="0DC64B5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164B6" w:rsidRDefault="00C61678" w14:paraId="0B456C7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164B6" w:rsidRDefault="00F164B6" w14:paraId="015F415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164B6" w:rsidRDefault="00C61678" w14:paraId="3E596E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F164B6" w:rsidRDefault="00F164B6" w14:paraId="07EB802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14:paraId="10C8E8AA" w14:textId="77777777">
        <w:trPr>
          <w:trHeight w:val="480"/>
        </w:trPr>
        <w:tc>
          <w:tcPr>
            <w:tcW w:w="1611" w:type="dxa"/>
            <w:shd w:val="clear" w:color="auto" w:fill="DBE5F1"/>
            <w:vAlign w:val="center"/>
          </w:tcPr>
          <w:p w:rsidR="00F164B6" w:rsidRDefault="00C61678" w14:paraId="598694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164B6" w:rsidRDefault="00853BC4" w14:paraId="1AF4E755" w14:textId="7B2AB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F164B6" w14:paraId="405B5DA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F164B6" w14:paraId="0C259FBA" w14:textId="30F968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164B6" w:rsidRDefault="00F164B6" w14:paraId="1A6D48F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6D93D2A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5B05956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0042768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14:paraId="31AC8EA0" w14:textId="77777777">
        <w:trPr>
          <w:trHeight w:val="460"/>
        </w:trPr>
        <w:tc>
          <w:tcPr>
            <w:tcW w:w="1611" w:type="dxa"/>
            <w:vAlign w:val="center"/>
          </w:tcPr>
          <w:p w:rsidR="00F164B6" w:rsidRDefault="00F164B6" w14:paraId="0692854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F164B6" w:rsidRDefault="00F164B6" w14:paraId="3E0F832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F164B6" w14:paraId="742798C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F164B6" w14:paraId="2E1D41B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164B6" w:rsidRDefault="00F164B6" w14:paraId="336EFC7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43D967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06518D8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01AF005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43E8707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730262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1D348F9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Opis metod prowadzenia zajęć</w:t>
      </w:r>
    </w:p>
    <w:p w:rsidR="00F164B6" w:rsidRDefault="00F164B6" w14:paraId="04758381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7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F164B6" w14:paraId="4B6A4B65" w14:textId="77777777">
        <w:trPr>
          <w:trHeight w:val="520"/>
        </w:trPr>
        <w:tc>
          <w:tcPr>
            <w:tcW w:w="9622" w:type="dxa"/>
          </w:tcPr>
          <w:p w:rsidRPr="004A48D5" w:rsidR="004A48D5" w:rsidP="004A48D5" w:rsidRDefault="004A48D5" w14:paraId="6B60076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Praca na zajęciach.</w:t>
            </w:r>
          </w:p>
          <w:p w:rsidR="00F164B6" w:rsidP="004A48D5" w:rsidRDefault="004A48D5" w14:paraId="2BA09B15" w14:textId="5E084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Praca końcowa/egzamin.</w:t>
            </w:r>
          </w:p>
        </w:tc>
      </w:tr>
    </w:tbl>
    <w:p w:rsidR="00F164B6" w:rsidRDefault="00F164B6" w14:paraId="47DB4891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27BCB9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223DABA2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Formy sprawdzania efektów uczenia się</w:t>
      </w:r>
    </w:p>
    <w:p w:rsidR="00F164B6" w:rsidRDefault="00F164B6" w14:paraId="32EE288A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8"/>
        <w:tblW w:w="9621" w:type="dxa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164B6" w14:paraId="69226DC9" w14:textId="77777777">
        <w:trPr>
          <w:trHeight w:val="1600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F164B6" w:rsidRDefault="00F164B6" w14:paraId="759602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16FB6B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465CF3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76F2902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529225C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4BC020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24BA2C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154C35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279E076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F164B6" w:rsidRDefault="00C61678" w14:paraId="748ED5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F164B6" w:rsidRDefault="00C61678" w14:paraId="26B0F6C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6DF9084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05BFD5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2B68A8D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BD2E8F" w14:paraId="2E15589A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BD2E8F" w:rsidP="00BD2E8F" w:rsidRDefault="00BD2E8F" w14:paraId="68DAB9D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2A19718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2D2560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0DE941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4876265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7AA1DB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5442D93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2393BD7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5D857B1" w14:textId="0E307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E8F" w:rsidP="00BD2E8F" w:rsidRDefault="00BD2E8F" w14:paraId="07A91CD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D2E8F" w:rsidP="00BD2E8F" w:rsidRDefault="00BD2E8F" w14:paraId="7DC4EBA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069052D0" w14:textId="78C62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69C5A87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5EDBB756" w14:textId="600C9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BD2E8F" w14:paraId="21185DF8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BD2E8F" w:rsidP="00BD2E8F" w:rsidRDefault="00BD2E8F" w14:paraId="03F4D7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62EF9A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1D16B40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0B04A8F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4CD3B9D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18D555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560F6AC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287F560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38149500" w14:textId="2E411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E8F" w:rsidP="00BD2E8F" w:rsidRDefault="00BD2E8F" w14:paraId="08A4F2E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D2E8F" w:rsidP="00BD2E8F" w:rsidRDefault="00BD2E8F" w14:paraId="3B07297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1CCF6246" w14:textId="660750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5AF9E44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3FB86C1D" w14:textId="5DCE5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BD2E8F" w14:paraId="67E87589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BD2E8F" w:rsidP="00BD2E8F" w:rsidRDefault="00BD2E8F" w14:paraId="3ED9A6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3EE3803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38B9C71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4A16CD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67CD67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4E036DC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497ED1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0370991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11AD4D70" w14:textId="3EE8B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E8F" w:rsidP="00BD2E8F" w:rsidRDefault="00BD2E8F" w14:paraId="40808BD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D2E8F" w:rsidP="00BD2E8F" w:rsidRDefault="00BD2E8F" w14:paraId="1E8296B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12DDE1B9" w14:textId="41ABD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652942D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AF6C4CA" w14:textId="4EF79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BD2E8F" w14:paraId="169CD245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BD2E8F" w:rsidP="00BD2E8F" w:rsidRDefault="00BD2E8F" w14:paraId="5BF208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6F324B6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7844A7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2929CE8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43E4473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278DCC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05E071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0E6027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19CBA152" w14:textId="27365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E8F" w:rsidP="00BD2E8F" w:rsidRDefault="00BD2E8F" w14:paraId="33F8949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D2E8F" w:rsidP="00BD2E8F" w:rsidRDefault="00BD2E8F" w14:paraId="626846F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5577EFE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53AB61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6868C6BB" w14:textId="0A639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BD2E8F" w14:paraId="7F87777D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BD2E8F" w:rsidP="00BD2E8F" w:rsidRDefault="00BD2E8F" w14:paraId="193B6ED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18181CC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014BCA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6695717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0E2F8B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5111E9B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374019E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312F6A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03032241" w14:textId="63A74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E8F" w:rsidP="00BD2E8F" w:rsidRDefault="00BD2E8F" w14:paraId="2A45C25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D2E8F" w:rsidP="00BD2E8F" w:rsidRDefault="00BD2E8F" w14:paraId="513CB22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208BAEB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29BAFBA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0553EBBD" w14:textId="2A8A7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BD2E8F" w14:paraId="53B53965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BD2E8F" w:rsidP="00BD2E8F" w:rsidRDefault="00BD2E8F" w14:paraId="0B0001B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1A4E23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42BA2ED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BA37C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49EEA2B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62E415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6328075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11AE941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172DC29" w14:textId="5BA36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E8F" w:rsidP="00BD2E8F" w:rsidRDefault="00BD2E8F" w14:paraId="5E75137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D2E8F" w:rsidP="00BD2E8F" w:rsidRDefault="00BD2E8F" w14:paraId="4C79B9B1" w14:textId="29791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4D58A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3F3D897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36CF8F32" w14:textId="1C6C6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BD2E8F" w14:paraId="6C202D86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BD2E8F" w:rsidP="00BD2E8F" w:rsidRDefault="00BD2E8F" w14:paraId="6A67B56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27A7F9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215DAF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4B7E3DC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4515B5E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6CF0C70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6C10E68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5F69D5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A35B863" w14:textId="49FAB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E8F" w:rsidP="00BD2E8F" w:rsidRDefault="00BD2E8F" w14:paraId="79EF96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D2E8F" w:rsidP="00BD2E8F" w:rsidRDefault="00BD2E8F" w14:paraId="77700207" w14:textId="47691D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1F0AC02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7A7A6A8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D2E8F" w:rsidP="00BD2E8F" w:rsidRDefault="00BD2E8F" w14:paraId="45551555" w14:textId="0561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4A48D5" w14:paraId="2EF27563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4A48D5" w:rsidP="004A48D5" w:rsidRDefault="004A48D5" w14:paraId="297F71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1922E3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6A7936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7273D8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76FBF7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251192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2E3F2F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9187AF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B3182B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4A48D5" w:rsidP="004A48D5" w:rsidRDefault="004A48D5" w14:paraId="4570501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A48D5" w:rsidP="004A48D5" w:rsidRDefault="004A48D5" w14:paraId="00BC6EC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57F175A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653C0A9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B70517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268E160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3F0EEA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D0149A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9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F164B6" w:rsidTr="4FCD996D" w14:paraId="1D55304E" w14:textId="77777777">
        <w:tc>
          <w:tcPr>
            <w:tcW w:w="1941" w:type="dxa"/>
            <w:shd w:val="clear" w:color="auto" w:fill="DBE5F1" w:themeFill="accent1" w:themeFillTint="33"/>
            <w:tcMar/>
            <w:vAlign w:val="center"/>
          </w:tcPr>
          <w:p w:rsidR="00F164B6" w:rsidRDefault="00C61678" w14:paraId="7573473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Mar/>
          </w:tcPr>
          <w:p w:rsidRPr="003D4639" w:rsidR="003D4639" w:rsidP="4FCD996D" w:rsidRDefault="003D4639" w14:paraId="5A2FA0BA" w14:textId="421C1F1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 w:rsidR="003D463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–</w:t>
            </w:r>
            <w:r w:rsidRPr="4FCD996D" w:rsidR="003D463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Zaliczenie na podstawie aktywnego udziału w różnych </w:t>
            </w:r>
            <w:r w:rsidRPr="4FCD996D" w:rsidR="1543F96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aktywnościach</w:t>
            </w:r>
            <w:r w:rsidRPr="4FCD996D" w:rsidR="003D463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, które będą prowadzone podczas </w:t>
            </w:r>
            <w:r w:rsidRPr="4FCD996D" w:rsidR="049ACB84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zajęć</w:t>
            </w:r>
            <w:r w:rsidRPr="4FCD996D" w:rsidR="003D463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Pr="003D4639" w:rsidR="003D4639" w:rsidP="003D4639" w:rsidRDefault="003D4639" w14:paraId="7035E3F9" w14:textId="51FAE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–</w:t>
            </w:r>
            <w:r w:rsidRPr="003D4639">
              <w:rPr>
                <w:rFonts w:ascii="Arial" w:hAnsi="Arial" w:eastAsia="Arial" w:cs="Arial"/>
                <w:color w:val="000000"/>
                <w:sz w:val="20"/>
                <w:szCs w:val="20"/>
              </w:rPr>
              <w:t>Oceniana będzie końcowa praca indywidualna, która będzie wykonywana przez cały czas trwania kursu.</w:t>
            </w:r>
          </w:p>
          <w:p w:rsidRPr="003D4639" w:rsidR="003D4639" w:rsidP="4FCD996D" w:rsidRDefault="003D4639" w14:paraId="5E77B094" w14:textId="2894818A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 w:rsidR="003D463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–</w:t>
            </w:r>
            <w:r w:rsidRPr="4FCD996D" w:rsidR="003D463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Oceniane będą różne ćwiczenia mające na celu wykorzystanie w praktyce znajomości języka hiszpańskiego i popraw</w:t>
            </w:r>
            <w:r w:rsidRPr="4FCD996D" w:rsidR="1AFC8B7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ność</w:t>
            </w:r>
            <w:r w:rsidRPr="4FCD996D" w:rsidR="003D463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posługiwania się tym językiem.</w:t>
            </w:r>
          </w:p>
          <w:p w:rsidRPr="003D4639" w:rsidR="003D4639" w:rsidP="4FCD996D" w:rsidRDefault="003D4639" w14:paraId="30BE17FA" w14:textId="71A51E2C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 w:rsidR="003D463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–</w:t>
            </w:r>
            <w:r w:rsidRPr="4FCD996D" w:rsidR="003D463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Maksymalna liczba nieobecności na kursie wynosi 2, a jeśli jest ich więcej, muszą być one uzasadnione </w:t>
            </w:r>
            <w:r w:rsidRPr="4FCD996D" w:rsidR="003D463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i zatwierdzone przez nauczyciela.</w:t>
            </w:r>
          </w:p>
          <w:p w:rsidRPr="003D4639" w:rsidR="003D4639" w:rsidP="003D4639" w:rsidRDefault="003D4639" w14:paraId="07AA8F1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962E23" w:rsidR="00962E23" w:rsidP="4FCD996D" w:rsidRDefault="00962E23" w14:paraId="7F35C71D" w14:textId="709CF69D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 w:line="240" w:lineRule="auto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 w:rsidR="75C658F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Skala</w:t>
            </w:r>
            <w:r w:rsidRPr="4FCD996D" w:rsidR="052D433F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ocen:</w:t>
            </w:r>
          </w:p>
          <w:p w:rsidRPr="00962E23" w:rsidR="00962E23" w:rsidP="00962E23" w:rsidRDefault="00962E23" w14:paraId="4D24A4C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0%-69,9% - 2,0</w:t>
            </w:r>
          </w:p>
          <w:p w:rsidRPr="00962E23" w:rsidR="00962E23" w:rsidP="00962E23" w:rsidRDefault="00962E23" w14:paraId="11D2999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70%-75% - 3,0</w:t>
            </w:r>
          </w:p>
          <w:p w:rsidRPr="00962E23" w:rsidR="00962E23" w:rsidP="00962E23" w:rsidRDefault="00962E23" w14:paraId="575B4F9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76%-81% - 3,5</w:t>
            </w:r>
          </w:p>
          <w:p w:rsidRPr="00962E23" w:rsidR="00962E23" w:rsidP="00962E23" w:rsidRDefault="00962E23" w14:paraId="6509E3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82%-87% - 4,0</w:t>
            </w:r>
          </w:p>
          <w:p w:rsidRPr="00962E23" w:rsidR="00962E23" w:rsidP="00962E23" w:rsidRDefault="00962E23" w14:paraId="47571E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88%-94% - 4,5</w:t>
            </w:r>
          </w:p>
          <w:p w:rsidR="00962E23" w:rsidP="00962E23" w:rsidRDefault="00962E23" w14:paraId="5786FEC4" w14:textId="7434D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95%-100% - 5,0</w:t>
            </w:r>
          </w:p>
          <w:p w:rsidR="00F164B6" w:rsidRDefault="00F164B6" w14:paraId="795A6EA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682AD635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E68A01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a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F164B6" w:rsidTr="4FCD996D" w14:paraId="14B72994" w14:textId="77777777">
        <w:trPr>
          <w:trHeight w:val="1080"/>
        </w:trPr>
        <w:tc>
          <w:tcPr>
            <w:tcW w:w="1941" w:type="dxa"/>
            <w:shd w:val="clear" w:color="auto" w:fill="DBE5F1" w:themeFill="accent1" w:themeFillTint="33"/>
            <w:tcMar/>
            <w:vAlign w:val="center"/>
          </w:tcPr>
          <w:p w:rsidR="00F164B6" w:rsidRDefault="00C61678" w14:paraId="1ED2A7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699" w:type="dxa"/>
            <w:tcMar/>
          </w:tcPr>
          <w:p w:rsidRPr="00BD2E8F" w:rsidR="00BD2E8F" w:rsidP="00BD2E8F" w:rsidRDefault="00BD2E8F" w14:paraId="04BFBAAB" w14:textId="4960515D">
            <w:pPr>
              <w:pStyle w:val="Zawartotabeli"/>
              <w:spacing w:before="57" w:after="57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 w:rsidR="77F13CA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-Akceptowane będą maksymalnie 2 nieobecności na kursie, chyba ż</w:t>
            </w:r>
            <w:r w:rsidRPr="4FCD996D" w:rsidR="59D34347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e n</w:t>
            </w:r>
            <w:r w:rsidRPr="4FCD996D" w:rsidR="77F13CA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ieobecność może zostać usprawiedliwiona.</w:t>
            </w:r>
          </w:p>
          <w:p w:rsidRPr="00BD2E8F" w:rsidR="00BD2E8F" w:rsidP="00BD2E8F" w:rsidRDefault="00BD2E8F" w14:paraId="4A68DB7B" w14:textId="77777777">
            <w:pPr>
              <w:pStyle w:val="Zawartotabeli"/>
              <w:spacing w:before="57" w:after="57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BD2E8F">
              <w:rPr>
                <w:rFonts w:ascii="Arial" w:hAnsi="Arial" w:eastAsia="Arial" w:cs="Arial"/>
                <w:color w:val="000000"/>
                <w:sz w:val="20"/>
                <w:szCs w:val="20"/>
              </w:rPr>
              <w:t>-Po upływie 15 minut od rozpoczęcia zajęć najlepiej jest nie wchodzić do sali lekcyjnej, chyba że spóźnienie można usprawiedliwić.</w:t>
            </w:r>
          </w:p>
          <w:p w:rsidRPr="00BD2E8F" w:rsidR="00BD2E8F" w:rsidP="00BD2E8F" w:rsidRDefault="00BD2E8F" w14:paraId="33B8E1B7" w14:textId="4131316F">
            <w:pPr>
              <w:pStyle w:val="Zawartotabeli"/>
              <w:spacing w:before="57" w:after="57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 w:rsidR="195DA1AA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-</w:t>
            </w:r>
            <w:r w:rsidRPr="4FCD996D" w:rsidR="77F13CA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Korzystanie z urządzeń podłączonych do Internetu będzie zawsze ograniczone do pracy w klasie. </w:t>
            </w:r>
            <w:r w:rsidRPr="4FCD996D" w:rsidR="61194C9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Ryzyk</w:t>
            </w:r>
            <w:r w:rsidRPr="4FCD996D" w:rsidR="77F13CA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o rozproszenia uwagi może poważnie utrudnić naukę.</w:t>
            </w:r>
          </w:p>
          <w:p w:rsidR="00F164B6" w:rsidP="00BD2E8F" w:rsidRDefault="00BD2E8F" w14:paraId="1C9ED752" w14:textId="62EA1C79">
            <w:pPr>
              <w:pStyle w:val="Zawartotabeli"/>
              <w:spacing w:before="57" w:after="57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 w:rsidR="77F13CA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-Argumenty i debaty </w:t>
            </w:r>
            <w:r w:rsidRPr="4FCD996D" w:rsidR="3948608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na zajęciach będą odbywać się z wzajemnym szacunkiem, w oparciu o uważne słuchanie pozostałych</w:t>
            </w:r>
            <w:r w:rsidRPr="4FCD996D" w:rsidR="77F13CA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.</w:t>
            </w:r>
          </w:p>
        </w:tc>
      </w:tr>
    </w:tbl>
    <w:p w:rsidR="00F164B6" w:rsidRDefault="00F164B6" w14:paraId="51C2BC8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6C65B02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729E33C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Treści merytoryczne (wykaz tematów)</w:t>
      </w:r>
    </w:p>
    <w:p w:rsidR="00F164B6" w:rsidRDefault="00F164B6" w14:paraId="3A34D07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b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F164B6" w14:paraId="507ECA4E" w14:textId="77777777">
        <w:trPr>
          <w:trHeight w:val="1120"/>
        </w:trPr>
        <w:tc>
          <w:tcPr>
            <w:tcW w:w="9622" w:type="dxa"/>
          </w:tcPr>
          <w:p w:rsidRPr="004A48D5" w:rsidR="004A48D5" w:rsidP="004A48D5" w:rsidRDefault="004A48D5" w14:paraId="3FA5E28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  <w:lastRenderedPageBreak/>
              <w:t>Wprowadzenie</w:t>
            </w:r>
          </w:p>
          <w:p w:rsidRPr="004A48D5" w:rsidR="004A48D5" w:rsidP="004A48D5" w:rsidRDefault="004A48D5" w14:paraId="59EF940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Historia i pamięć w konflikcie: teraźniejszość przeszłości</w:t>
            </w:r>
          </w:p>
          <w:p w:rsidRPr="004A48D5" w:rsidR="004A48D5" w:rsidP="004A48D5" w:rsidRDefault="004A48D5" w14:paraId="570DD117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Tło: Niepodległość Stanów Zjednoczonych i Pierwsza Republika Hiszpańska</w:t>
            </w:r>
          </w:p>
          <w:p w:rsidR="004A48D5" w:rsidP="004A48D5" w:rsidRDefault="004A48D5" w14:paraId="560D1DB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4A48D5" w:rsidR="004A48D5" w:rsidP="004A48D5" w:rsidRDefault="004A48D5" w14:paraId="481B3A51" w14:textId="556671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  <w:t>1895-1920</w:t>
            </w:r>
          </w:p>
          <w:p w:rsidRPr="004A48D5" w:rsidR="004A48D5" w:rsidP="004A48D5" w:rsidRDefault="004A48D5" w14:paraId="579922E5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Republika Kubańska</w:t>
            </w:r>
          </w:p>
          <w:p w:rsidRPr="004A48D5" w:rsidR="004A48D5" w:rsidP="004A48D5" w:rsidRDefault="004A48D5" w14:paraId="28DC937E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Rewolucja meksykańska</w:t>
            </w:r>
          </w:p>
          <w:p w:rsidRPr="004A48D5" w:rsidR="004A48D5" w:rsidP="004A48D5" w:rsidRDefault="004A48D5" w14:paraId="31131C9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I wojna światowa</w:t>
            </w:r>
          </w:p>
          <w:p w:rsidR="004A48D5" w:rsidP="004A48D5" w:rsidRDefault="004A48D5" w14:paraId="411311F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4A48D5" w:rsidR="004A48D5" w:rsidP="004A48D5" w:rsidRDefault="004A48D5" w14:paraId="453DBD0E" w14:textId="50394B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  <w:t>1923-1945</w:t>
            </w:r>
          </w:p>
          <w:p w:rsidRPr="004A48D5" w:rsidR="004A48D5" w:rsidP="004A48D5" w:rsidRDefault="004A48D5" w14:paraId="6C8A8BE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Alfons XII, Miguel Primo de Rivera, </w:t>
            </w:r>
            <w:proofErr w:type="spellStart"/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Dámaso</w:t>
            </w:r>
            <w:proofErr w:type="spellEnd"/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Berenguer</w:t>
            </w:r>
            <w:proofErr w:type="spellEnd"/>
          </w:p>
          <w:p w:rsidRPr="004A48D5" w:rsidR="004A48D5" w:rsidP="004A48D5" w:rsidRDefault="004A48D5" w14:paraId="1A25807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proofErr w:type="spellStart"/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Cardenismo</w:t>
            </w:r>
            <w:proofErr w:type="spellEnd"/>
          </w:p>
          <w:p w:rsidRPr="004A48D5" w:rsidR="004A48D5" w:rsidP="004A48D5" w:rsidRDefault="004A48D5" w14:paraId="2BBD6E5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Hiszpańska wojna domowa</w:t>
            </w:r>
          </w:p>
          <w:p w:rsidRPr="004A48D5" w:rsidR="004A48D5" w:rsidP="004A48D5" w:rsidRDefault="004A48D5" w14:paraId="1D3F63D7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Druga wojna światowa</w:t>
            </w:r>
          </w:p>
          <w:p w:rsidR="004A48D5" w:rsidP="004A48D5" w:rsidRDefault="004A48D5" w14:paraId="2081438A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</w:pPr>
          </w:p>
          <w:p w:rsidRPr="004A48D5" w:rsidR="004A48D5" w:rsidP="004A48D5" w:rsidRDefault="004A48D5" w14:paraId="23E5ED39" w14:textId="13A448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  <w:t>1939-1986</w:t>
            </w:r>
          </w:p>
          <w:p w:rsidRPr="004A48D5" w:rsidR="004A48D5" w:rsidP="004A48D5" w:rsidRDefault="004A48D5" w14:paraId="46CA6D70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proofErr w:type="spellStart"/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Frankoizm</w:t>
            </w:r>
            <w:proofErr w:type="spellEnd"/>
          </w:p>
          <w:p w:rsidRPr="004A48D5" w:rsidR="004A48D5" w:rsidP="004A48D5" w:rsidRDefault="004A48D5" w14:paraId="5ED53156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proofErr w:type="spellStart"/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Peronizm</w:t>
            </w:r>
            <w:proofErr w:type="spellEnd"/>
          </w:p>
          <w:p w:rsidRPr="004A48D5" w:rsidR="004A48D5" w:rsidP="004A48D5" w:rsidRDefault="004A48D5" w14:paraId="33D28D4E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1968</w:t>
            </w:r>
          </w:p>
          <w:p w:rsidR="00F164B6" w:rsidP="004A48D5" w:rsidRDefault="004A48D5" w14:paraId="172DBB80" w14:textId="2F83B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Dyktatury w Ameryce Łacińskiej</w:t>
            </w:r>
            <w:r w:rsidRPr="0033482A" w:rsidR="0033482A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</w:p>
        </w:tc>
      </w:tr>
    </w:tbl>
    <w:p w:rsidR="00F164B6" w:rsidRDefault="00F164B6" w14:paraId="2B240401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1FBA62E5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C70BE7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1C46A0F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5C99C1C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11ABC2EB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056159C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Wykaz literatury podstawowej</w:t>
      </w:r>
    </w:p>
    <w:p w:rsidR="00F164B6" w:rsidRDefault="00F164B6" w14:paraId="02BD3DA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c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F164B6" w14:paraId="2B67780B" w14:textId="77777777">
        <w:trPr>
          <w:trHeight w:val="820"/>
        </w:trPr>
        <w:tc>
          <w:tcPr>
            <w:tcW w:w="9622" w:type="dxa"/>
          </w:tcPr>
          <w:p w:rsidRPr="004A48D5" w:rsidR="004A48D5" w:rsidP="004A48D5" w:rsidRDefault="004A48D5" w14:paraId="231DE79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Águila, Gabriela,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Historia de la última dictadura militar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Buenos Aires, Siglo veintiuno editores, 2023.</w:t>
            </w:r>
          </w:p>
          <w:p w:rsidR="004A48D5" w:rsidP="004A48D5" w:rsidRDefault="004A48D5" w14:paraId="4D49A5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Allier Montaño, Eugenia y Emilio Crenzel (coords.).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Las luchas por la memoria en América Latina. Historia reciente y violencia política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Universidad Nacional Autónoma de México y Bonilla Artigas Editores, 2015.</w:t>
            </w:r>
          </w:p>
          <w:p w:rsidRPr="004A48D5" w:rsidR="004A48D5" w:rsidP="004A48D5" w:rsidRDefault="004A48D5" w14:paraId="78CD7479" w14:textId="7CFA33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F64926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Álvarez Junco, José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, y </w:t>
            </w:r>
            <w:proofErr w:type="spellStart"/>
            <w:r w:rsidRPr="00F64926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Adrian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F64926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Shubert</w:t>
            </w:r>
            <w:proofErr w:type="spellEnd"/>
            <w:r w:rsidRPr="00F64926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, </w:t>
            </w:r>
            <w:r w:rsidRPr="00F64926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ES"/>
              </w:rPr>
              <w:t>Nueva historia de la España contemporánea (1808-2018)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, Barcelona, Galaxia Gutenberg, </w:t>
            </w:r>
            <w:r w:rsidRPr="00F64926">
              <w:rPr>
                <w:rFonts w:ascii="Arial" w:hAnsi="Arial" w:eastAsia="Arial" w:cs="Arial"/>
                <w:color w:val="000000"/>
                <w:sz w:val="20"/>
                <w:szCs w:val="20"/>
              </w:rPr>
              <w:t>2018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.</w:t>
            </w:r>
          </w:p>
          <w:p w:rsidR="004A48D5" w:rsidP="004A48D5" w:rsidRDefault="004A48D5" w14:paraId="1D6D7A6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Bechis, Marco,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Garage Olimpo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01:38:00, 1999.</w:t>
            </w:r>
          </w:p>
          <w:p w:rsidRPr="004A48D5" w:rsidR="004A48D5" w:rsidP="004A48D5" w:rsidRDefault="004A48D5" w14:paraId="70B0F571" w14:textId="4E3F6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F64926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Casanova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, </w:t>
            </w:r>
            <w:r w:rsidRPr="00F64926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Julián,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y </w:t>
            </w:r>
            <w:r w:rsidRPr="00F64926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Paul Preston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 (coords.),</w:t>
            </w:r>
            <w:r w:rsidRPr="00F64926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 </w:t>
            </w:r>
            <w:r w:rsidRPr="00F64926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guerra civil española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, Madrid, Pablo Iglesias, </w:t>
            </w:r>
            <w:r w:rsidRPr="00F64926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2008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</w:t>
            </w:r>
          </w:p>
          <w:p w:rsidRPr="004A48D5" w:rsidR="004A48D5" w:rsidP="004A48D5" w:rsidRDefault="004A48D5" w14:paraId="0BFDE78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Chávarri, Jaime,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Las bicicletas son para el verano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01:42:00, 1984.</w:t>
            </w:r>
          </w:p>
          <w:p w:rsidRPr="004A48D5" w:rsidR="004A48D5" w:rsidP="004A48D5" w:rsidRDefault="004A48D5" w14:paraId="26A840F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Crenzel, Emilio. La historia Política del Nunca Más. Ciudad Autónoma de Buenos Aires: Siglo</w:t>
            </w:r>
          </w:p>
          <w:p w:rsidR="004A48D5" w:rsidP="004A48D5" w:rsidRDefault="004A48D5" w14:paraId="1FD2426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Veintiuno Editores, 2024.</w:t>
            </w:r>
          </w:p>
          <w:p w:rsidRPr="004A48D5" w:rsidR="004A48D5" w:rsidP="004A48D5" w:rsidRDefault="004A48D5" w14:paraId="53BD5F7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proofErr w:type="spellStart"/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Gilly</w:t>
            </w:r>
            <w:proofErr w:type="spellEnd"/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, Adolfo, 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</w:rPr>
              <w:t xml:space="preserve">El </w:t>
            </w:r>
            <w:proofErr w:type="spellStart"/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</w:rPr>
              <w:t>cardenismo</w:t>
            </w:r>
            <w:proofErr w:type="spellEnd"/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</w:rPr>
              <w:t>una</w:t>
            </w:r>
            <w:proofErr w:type="spellEnd"/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</w:rPr>
              <w:t>utopía</w:t>
            </w:r>
            <w:proofErr w:type="spellEnd"/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</w:rPr>
              <w:t>mexicana</w:t>
            </w:r>
            <w:proofErr w:type="spellEnd"/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</w:rPr>
              <w:t>,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México</w:t>
            </w:r>
            <w:proofErr w:type="spellEnd"/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>, Cal y Arena, 1994.</w:t>
            </w:r>
          </w:p>
          <w:p w:rsidRPr="004A48D5" w:rsidR="004A48D5" w:rsidP="004A48D5" w:rsidRDefault="004A48D5" w14:paraId="2304A0E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Gall, Olivia,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ES"/>
              </w:rPr>
              <w:t>Trotsky en México: y la vida política en tiempos de Lázaro Cárdenas (1937-1940)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, México, Universidad Nacional Autónoma de México, 2012.</w:t>
            </w:r>
          </w:p>
          <w:p w:rsidRPr="004A48D5" w:rsidR="004A48D5" w:rsidP="004A48D5" w:rsidRDefault="004A48D5" w14:paraId="6049C24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García Cárcel, Ricardo,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herencia del pasado. Las memorias históricas de España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Barcelona, Galaxia Gutenberg, 2013, p. 563-583.</w:t>
            </w:r>
          </w:p>
          <w:p w:rsidRPr="004A48D5" w:rsidR="004A48D5" w:rsidP="004A48D5" w:rsidRDefault="004A48D5" w14:paraId="08B00B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González Díaz, Marcos, “La olvidada historia de la ‘Pequeña Polonia’ de México a la que llegaron cientos de refugiados de la Segunda Guerra Mundial”,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BBC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26 julio 2020.</w:t>
            </w:r>
          </w:p>
          <w:p w:rsidRPr="004A48D5" w:rsidR="004A48D5" w:rsidP="004A48D5" w:rsidRDefault="004A48D5" w14:paraId="64AB37D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Hobsbawm, Eric J.,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Historia del siglo XX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 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: 1914-1991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Barcelona, Crítica, 2011.</w:t>
            </w:r>
          </w:p>
          <w:p w:rsidRPr="004A48D5" w:rsidR="004A48D5" w:rsidP="004A48D5" w:rsidRDefault="004A48D5" w14:paraId="178AEE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Lida, Eugenia Clara, Horacio Crespo y Pablo Yankelevich,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Argentina, 1976: estudios al torno</w:t>
            </w:r>
          </w:p>
          <w:p w:rsidRPr="004A48D5" w:rsidR="004A48D5" w:rsidP="004A48D5" w:rsidRDefault="004A48D5" w14:paraId="47FCEB8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al golpe de estado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México, Fondo de Cultura Económica, 2008.</w:t>
            </w:r>
          </w:p>
          <w:p w:rsidRPr="004A48D5" w:rsidR="004A48D5" w:rsidP="004A48D5" w:rsidRDefault="004A48D5" w14:paraId="4CE4E71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lastRenderedPageBreak/>
              <w:t xml:space="preserve">López Lloret, Joan,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Sinaia, más allá del océano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01:16:00, 2012.</w:t>
            </w:r>
          </w:p>
          <w:p w:rsidRPr="004A48D5" w:rsidR="004A48D5" w:rsidP="004A48D5" w:rsidRDefault="004A48D5" w14:paraId="04836FE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O’Gorman, Edmundo.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invención de América. Investigación acerca de la estructura histórica del nuevo mundo y del sentido de su devenir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Fondo de Cultura Económica, 2010.</w:t>
            </w:r>
          </w:p>
          <w:p w:rsidRPr="004A48D5" w:rsidR="004A48D5" w:rsidP="004A48D5" w:rsidRDefault="004A48D5" w14:paraId="5B2F2309" w14:textId="3A600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Pérez Montfort, Ricardo,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ES"/>
              </w:rPr>
              <w:t>Lázaro Cárdenas. Un mexicano del siglo XX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, tomo 1, México, Debate, 2018.</w:t>
            </w:r>
          </w:p>
          <w:p w:rsidRPr="004A48D5" w:rsidR="004A48D5" w:rsidP="004A48D5" w:rsidRDefault="004A48D5" w14:paraId="41678F29" w14:textId="05247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Poniatowska, Elena,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Noche de Tlatelolco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 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: testimonios de historia oral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México, Era, 1998.</w:t>
            </w:r>
          </w:p>
          <w:p w:rsidRPr="004A48D5" w:rsidR="004A48D5" w:rsidP="004A48D5" w:rsidRDefault="004A48D5" w14:paraId="3CEBE6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Robinson, Andy.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Oro, petróleo y aguacates. Las nuevas venas abiertas de América Latina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Barcelona: Arpa &amp; Alfil Editores, 2020.</w:t>
            </w:r>
          </w:p>
          <w:p w:rsidRPr="004A48D5" w:rsidR="004A48D5" w:rsidP="004A48D5" w:rsidRDefault="004A48D5" w14:paraId="4104BDB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Saer, Juan José, 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El río sin orillas. Tratado imaginario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Barcelona, Días Contados, 2020, p. 270-294.</w:t>
            </w:r>
          </w:p>
          <w:p w:rsidRPr="0066028A" w:rsidR="004176BB" w:rsidP="004A48D5" w:rsidRDefault="004A48D5" w14:paraId="3F0E8740" w14:textId="6DEF2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Serna Dimas, Adrián, y Víctor Jelfets, </w:t>
            </w:r>
            <w:r w:rsidRPr="004A48D5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América Latina en la Internacional Comunista (1919-1943): diccionario biográfico</w:t>
            </w:r>
            <w:r w:rsidRPr="004A48D5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Buenos Aires, CLACSO, 2019.</w:t>
            </w:r>
          </w:p>
        </w:tc>
      </w:tr>
    </w:tbl>
    <w:p w:rsidR="00F164B6" w:rsidRDefault="00F164B6" w14:paraId="3B75170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4A48D5" w:rsidRDefault="004A48D5" w14:paraId="1F78B58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16009FD7" w14:textId="5AEBB4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Wykaz literatury uzupełniającej</w:t>
      </w:r>
    </w:p>
    <w:p w:rsidR="00F164B6" w:rsidRDefault="00F164B6" w14:paraId="3100B51A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d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F164B6" w14:paraId="745A9D59" w14:textId="77777777">
        <w:trPr>
          <w:trHeight w:val="480"/>
        </w:trPr>
        <w:tc>
          <w:tcPr>
            <w:tcW w:w="9622" w:type="dxa"/>
          </w:tcPr>
          <w:p w:rsidR="00C93A39" w:rsidP="004A48D5" w:rsidRDefault="00C93A39" w14:paraId="5E656135" w14:textId="5EAE1E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C93A39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Aróstegui, Julio, </w:t>
            </w:r>
            <w:r w:rsidRPr="00C93A39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Transición (1975-1982)</w:t>
            </w:r>
            <w:r w:rsidRPr="00C93A39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Madrid, Acento, 2000.</w:t>
            </w:r>
          </w:p>
          <w:p w:rsidR="00C93A39" w:rsidP="004A48D5" w:rsidRDefault="00C93A39" w14:paraId="3EDC0082" w14:textId="70C4F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C93A39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Damián A. González Madrid (coord.)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</w:t>
            </w:r>
            <w:r w:rsidRPr="00C93A39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l </w:t>
            </w:r>
            <w:r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Fr</w:t>
            </w:r>
            <w:r w:rsidRPr="00C93A39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anquismo y la </w:t>
            </w:r>
            <w:r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Tr</w:t>
            </w:r>
            <w:r w:rsidRPr="00C93A39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ansición en </w:t>
            </w:r>
            <w:r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España. D</w:t>
            </w:r>
            <w:r w:rsidRPr="00C93A39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esmitificación y reconstrucción de la memoria de una época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, Madrid, Catarata, </w:t>
            </w:r>
            <w:r w:rsidRPr="00C93A39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2008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</w:t>
            </w:r>
          </w:p>
          <w:p w:rsidR="004A48D5" w:rsidP="004A48D5" w:rsidRDefault="004A48D5" w14:paraId="5FE1C97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C93A39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Monedero, Juan Carlos, </w:t>
            </w:r>
            <w:r w:rsidRPr="00C93A39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transición contada a nuestros padres. Nocturno de la democracia española</w:t>
            </w:r>
            <w:r w:rsidRPr="00C93A39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Madrid, Catarata, 2017.</w:t>
            </w:r>
          </w:p>
          <w:p w:rsidRPr="004B628E" w:rsidR="00F164B6" w:rsidP="004A48D5" w:rsidRDefault="004A48D5" w14:paraId="0330708E" w14:textId="79A5A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  <w:proofErr w:type="spellStart"/>
            <w:r w:rsidRPr="004176BB">
              <w:rPr>
                <w:rFonts w:ascii="Arial" w:hAnsi="Arial" w:eastAsia="Arial" w:cs="Arial"/>
                <w:color w:val="000000"/>
                <w:sz w:val="20"/>
                <w:szCs w:val="20"/>
              </w:rPr>
              <w:t>Tibol</w:t>
            </w:r>
            <w:proofErr w:type="spellEnd"/>
            <w:r w:rsidRPr="004176B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, </w:t>
            </w:r>
            <w:r w:rsidRPr="004176BB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Raquel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, “</w:t>
            </w:r>
            <w:r w:rsidRPr="004176BB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Lázaro Cárdenas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4176BB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y los artistas plásticos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”, </w:t>
            </w:r>
            <w:r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ES"/>
              </w:rPr>
              <w:t>Revista de la Universidad de México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, marzo de 1988.</w:t>
            </w:r>
          </w:p>
        </w:tc>
      </w:tr>
    </w:tbl>
    <w:p w:rsidR="00F164B6" w:rsidRDefault="00F164B6" w14:paraId="53534E2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DEA117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57AC361A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04A46EA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Bilans godzinowy zgodny z CNPS (Całkowity Nakład Pracy Studenta)</w:t>
      </w:r>
    </w:p>
    <w:p w:rsidR="00F164B6" w:rsidRDefault="00F164B6" w14:paraId="33366D3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e"/>
        <w:tblW w:w="9582" w:type="dxa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F164B6" w:rsidTr="56B3D61C" w14:paraId="6B528FE1" w14:textId="77777777">
        <w:trPr>
          <w:trHeight w:val="320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="00F164B6" w:rsidRDefault="00C61678" w14:paraId="4A07A6D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F164B6" w:rsidRDefault="00C61678" w14:paraId="2297C51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F164B6" w:rsidRDefault="004A48D5" w14:paraId="337003E7" w14:textId="5EEE58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30</w:t>
            </w:r>
          </w:p>
        </w:tc>
      </w:tr>
      <w:tr w:rsidR="00F164B6" w:rsidTr="56B3D61C" w14:paraId="311DF182" w14:textId="77777777">
        <w:trPr>
          <w:trHeight w:val="320"/>
        </w:trPr>
        <w:tc>
          <w:tcPr>
            <w:tcW w:w="2766" w:type="dxa"/>
            <w:vMerge/>
            <w:tcMar/>
            <w:vAlign w:val="center"/>
          </w:tcPr>
          <w:p w:rsidR="00F164B6" w:rsidRDefault="00F164B6" w14:paraId="5966983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F164B6" w:rsidRDefault="00C61678" w14:paraId="4FEA11A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F164B6" w:rsidP="56B3D61C" w:rsidRDefault="00C61678" w14:paraId="61B3284D" w14:textId="6E957D82">
            <w:pPr>
              <w:widowControl w:val="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:rsidTr="56B3D61C" w14:paraId="1D62738E" w14:textId="77777777">
        <w:trPr>
          <w:trHeight w:val="660"/>
        </w:trPr>
        <w:tc>
          <w:tcPr>
            <w:tcW w:w="2766" w:type="dxa"/>
            <w:vMerge/>
            <w:tcMar/>
            <w:vAlign w:val="center"/>
          </w:tcPr>
          <w:p w:rsidR="00F164B6" w:rsidRDefault="00F164B6" w14:paraId="64C6D2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F164B6" w:rsidRDefault="00C61678" w14:paraId="3A82B2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F164B6" w:rsidRDefault="00F164B6" w14:paraId="43152613" w14:textId="373EE7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:rsidTr="56B3D61C" w14:paraId="77B7CADE" w14:textId="77777777">
        <w:trPr>
          <w:trHeight w:val="340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="00F164B6" w:rsidRDefault="00C61678" w14:paraId="64F7E17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F164B6" w:rsidRDefault="00C61678" w14:paraId="14911B4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F164B6" w:rsidRDefault="004A48D5" w14:paraId="1DD10BA0" w14:textId="6D2729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15</w:t>
            </w:r>
          </w:p>
        </w:tc>
      </w:tr>
      <w:tr w:rsidR="00F164B6" w:rsidTr="56B3D61C" w14:paraId="665AE347" w14:textId="77777777">
        <w:trPr>
          <w:trHeight w:val="700"/>
        </w:trPr>
        <w:tc>
          <w:tcPr>
            <w:tcW w:w="2766" w:type="dxa"/>
            <w:vMerge/>
            <w:tcMar/>
            <w:vAlign w:val="center"/>
          </w:tcPr>
          <w:p w:rsidR="00F164B6" w:rsidRDefault="00F164B6" w14:paraId="60EEAD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F164B6" w:rsidRDefault="00C61678" w14:paraId="3F7DDFC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F164B6" w:rsidRDefault="004A48D5" w14:paraId="5AFE3C44" w14:textId="3BEBBA8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15</w:t>
            </w:r>
          </w:p>
        </w:tc>
      </w:tr>
      <w:tr w:rsidR="00F164B6" w:rsidTr="56B3D61C" w14:paraId="427E67E8" w14:textId="77777777">
        <w:trPr>
          <w:trHeight w:val="720"/>
        </w:trPr>
        <w:tc>
          <w:tcPr>
            <w:tcW w:w="2766" w:type="dxa"/>
            <w:vMerge/>
            <w:tcMar/>
            <w:vAlign w:val="center"/>
          </w:tcPr>
          <w:p w:rsidR="00F164B6" w:rsidRDefault="00F164B6" w14:paraId="47CE0E2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F164B6" w:rsidRDefault="00C61678" w14:paraId="4702F06C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F164B6" w:rsidRDefault="00F164B6" w14:paraId="56CE46C9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:rsidTr="56B3D61C" w14:paraId="0B3493A0" w14:textId="77777777">
        <w:trPr>
          <w:trHeight w:val="360"/>
        </w:trPr>
        <w:tc>
          <w:tcPr>
            <w:tcW w:w="2766" w:type="dxa"/>
            <w:vMerge/>
            <w:tcMar/>
            <w:vAlign w:val="center"/>
          </w:tcPr>
          <w:p w:rsidR="00F164B6" w:rsidRDefault="00F164B6" w14:paraId="066515C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F164B6" w:rsidRDefault="00C61678" w14:paraId="6F01861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F164B6" w:rsidRDefault="00C61678" w14:paraId="288180B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</w:rPr>
              <w:t>10</w:t>
            </w:r>
          </w:p>
        </w:tc>
      </w:tr>
      <w:tr w:rsidR="00F164B6" w:rsidTr="56B3D61C" w14:paraId="1B8096DC" w14:textId="77777777">
        <w:trPr>
          <w:trHeight w:val="360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="00F164B6" w:rsidRDefault="00C61678" w14:paraId="7B10271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F164B6" w:rsidRDefault="004A48D5" w14:paraId="35B929AD" w14:textId="28803E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</w:rPr>
              <w:t>100</w:t>
            </w:r>
          </w:p>
        </w:tc>
      </w:tr>
      <w:tr w:rsidR="00F164B6" w:rsidTr="56B3D61C" w14:paraId="1302FDAC" w14:textId="77777777">
        <w:trPr>
          <w:trHeight w:val="380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="00F164B6" w:rsidRDefault="00C61678" w14:paraId="2F283490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F164B6" w:rsidRDefault="00C61678" w14:paraId="34754C75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</w:t>
            </w:r>
          </w:p>
        </w:tc>
      </w:tr>
    </w:tbl>
    <w:p w:rsidR="00F164B6" w:rsidRDefault="00F164B6" w14:paraId="74CA68C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sectPr w:rsidR="00F164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 w:orient="portrait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7316" w:rsidRDefault="00F97316" w14:paraId="4A61647C" w14:textId="77777777">
      <w:pPr>
        <w:spacing w:line="240" w:lineRule="auto"/>
        <w:ind w:left="0" w:hanging="2"/>
      </w:pPr>
      <w:r>
        <w:separator/>
      </w:r>
    </w:p>
  </w:endnote>
  <w:endnote w:type="continuationSeparator" w:id="0">
    <w:p w:rsidR="00F97316" w:rsidRDefault="00F97316" w14:paraId="078FE348" w14:textId="7777777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164B6" w:rsidRDefault="00F164B6" w14:paraId="267E447D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164B6" w:rsidRDefault="00C61678" w14:paraId="517DFF82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17012">
      <w:rPr>
        <w:noProof/>
        <w:color w:val="000000"/>
      </w:rPr>
      <w:t>1</w:t>
    </w:r>
    <w:r>
      <w:rPr>
        <w:color w:val="000000"/>
      </w:rPr>
      <w:fldChar w:fldCharType="end"/>
    </w:r>
  </w:p>
  <w:p w:rsidR="00F164B6" w:rsidRDefault="00F164B6" w14:paraId="69C00EFE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164B6" w:rsidRDefault="00F164B6" w14:paraId="41BE1A7D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7316" w:rsidRDefault="00F97316" w14:paraId="695381D6" w14:textId="77777777">
      <w:pPr>
        <w:spacing w:line="240" w:lineRule="auto"/>
        <w:ind w:left="0" w:hanging="2"/>
      </w:pPr>
      <w:r>
        <w:separator/>
      </w:r>
    </w:p>
  </w:footnote>
  <w:footnote w:type="continuationSeparator" w:id="0">
    <w:p w:rsidR="00F97316" w:rsidRDefault="00F97316" w14:paraId="41E696F7" w14:textId="7777777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164B6" w:rsidRDefault="00F164B6" w14:paraId="0BC2C39F" w14:textId="77777777">
    <w:pPr>
      <w:keepNext/>
      <w:pBdr>
        <w:top w:val="nil"/>
        <w:left w:val="nil"/>
        <w:bottom w:val="nil"/>
        <w:right w:val="nil"/>
        <w:between w:val="nil"/>
      </w:pBdr>
      <w:spacing w:before="240" w:after="120" w:line="240" w:lineRule="auto"/>
      <w:ind w:left="1" w:hanging="3"/>
      <w:rPr>
        <w:rFonts w:ascii="Arial" w:hAnsi="Arial" w:eastAsia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164B6" w:rsidRDefault="00F164B6" w14:paraId="650AEA0E" w14:textId="77777777"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164B6" w:rsidRDefault="00F164B6" w14:paraId="518C71C3" w14:textId="77777777">
    <w:pPr>
      <w:keepNext/>
      <w:pBdr>
        <w:top w:val="nil"/>
        <w:left w:val="nil"/>
        <w:bottom w:val="nil"/>
        <w:right w:val="nil"/>
        <w:between w:val="nil"/>
      </w:pBdr>
      <w:spacing w:before="240" w:after="120" w:line="240" w:lineRule="auto"/>
      <w:ind w:left="1" w:hanging="3"/>
      <w:rPr>
        <w:rFonts w:ascii="Arial" w:hAnsi="Arial" w:eastAsia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14076"/>
    <w:multiLevelType w:val="multilevel"/>
    <w:tmpl w:val="7604E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937202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4B6"/>
    <w:rsid w:val="00092ED4"/>
    <w:rsid w:val="000D660B"/>
    <w:rsid w:val="002442A5"/>
    <w:rsid w:val="00251E63"/>
    <w:rsid w:val="00275C4F"/>
    <w:rsid w:val="0033482A"/>
    <w:rsid w:val="003D4639"/>
    <w:rsid w:val="004176BB"/>
    <w:rsid w:val="00454D52"/>
    <w:rsid w:val="00475051"/>
    <w:rsid w:val="004A48D5"/>
    <w:rsid w:val="004B628E"/>
    <w:rsid w:val="00551551"/>
    <w:rsid w:val="0057095F"/>
    <w:rsid w:val="005839BC"/>
    <w:rsid w:val="00583E63"/>
    <w:rsid w:val="0066028A"/>
    <w:rsid w:val="00672499"/>
    <w:rsid w:val="00853BC4"/>
    <w:rsid w:val="008D548F"/>
    <w:rsid w:val="008D6020"/>
    <w:rsid w:val="008E7BE2"/>
    <w:rsid w:val="00957040"/>
    <w:rsid w:val="00962E23"/>
    <w:rsid w:val="00AD00BD"/>
    <w:rsid w:val="00B668CE"/>
    <w:rsid w:val="00BD2E8F"/>
    <w:rsid w:val="00C56432"/>
    <w:rsid w:val="00C61678"/>
    <w:rsid w:val="00C6694A"/>
    <w:rsid w:val="00C93A39"/>
    <w:rsid w:val="00D5109D"/>
    <w:rsid w:val="00DC0D58"/>
    <w:rsid w:val="00E17012"/>
    <w:rsid w:val="00E725E9"/>
    <w:rsid w:val="00F164B6"/>
    <w:rsid w:val="00F27D59"/>
    <w:rsid w:val="00F64926"/>
    <w:rsid w:val="00F97316"/>
    <w:rsid w:val="049ACB84"/>
    <w:rsid w:val="052D433F"/>
    <w:rsid w:val="07A1B43C"/>
    <w:rsid w:val="08D71A3A"/>
    <w:rsid w:val="1543F963"/>
    <w:rsid w:val="195DA1AA"/>
    <w:rsid w:val="1A8CE86F"/>
    <w:rsid w:val="1AFC8B76"/>
    <w:rsid w:val="26807D7E"/>
    <w:rsid w:val="386C011C"/>
    <w:rsid w:val="38B999C7"/>
    <w:rsid w:val="39486082"/>
    <w:rsid w:val="4D3EBBE1"/>
    <w:rsid w:val="4FCD996D"/>
    <w:rsid w:val="56B3D61C"/>
    <w:rsid w:val="59D34347"/>
    <w:rsid w:val="61194C9C"/>
    <w:rsid w:val="68C79241"/>
    <w:rsid w:val="75C658F3"/>
    <w:rsid w:val="77F1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7CD40"/>
  <w15:docId w15:val="{D86453CE-624D-4F60-86E5-38AA2DEF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autoSpaceDE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tulo1">
    <w:name w:val="heading 1"/>
    <w:basedOn w:val="Normal"/>
    <w:next w:val="Normal"/>
    <w:uiPriority w:val="9"/>
    <w:qFormat/>
    <w:pPr>
      <w:keepNext/>
      <w:autoSpaceDE/>
      <w:jc w:val="center"/>
    </w:pPr>
    <w:rPr>
      <w:rFonts w:ascii="Verdana" w:hAnsi="Verdana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Znakinumeracji" w:customStyle="1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styleId="Nmerodepgina">
    <w:name w:val="page number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</w:style>
  <w:style w:type="paragraph" w:styleId="Piedepgina">
    <w:name w:val="footer"/>
    <w:basedOn w:val="Normal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rPr>
      <w:sz w:val="20"/>
      <w:szCs w:val="20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StopkaZnak" w:customStyle="1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TekstdymkaZnak" w:customStyle="1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TekstkomentarzaZnak" w:customStyle="1">
    <w:name w:val="Tekst komentarza Znak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character" w:styleId="TematkomentarzaZnak" w:customStyle="1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"/>
    <w:tblPr>
      <w:tblStyleRowBandSize w:val="1"/>
      <w:tblStyleColBandSize w:val="1"/>
    </w:tblPr>
  </w:style>
  <w:style w:type="table" w:styleId="a7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D660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660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B628E"/>
    <w:pPr>
      <w:widowControl/>
      <w:autoSpaceDE/>
      <w:spacing w:before="100" w:beforeAutospacing="1" w:after="100" w:afterAutospacing="1" w:line="240" w:lineRule="auto"/>
      <w:ind w:left="0" w:leftChars="0" w:firstLine="0" w:firstLineChars="0"/>
      <w:textDirection w:val="lrTb"/>
      <w:textAlignment w:val="auto"/>
      <w:outlineLvl w:val="9"/>
    </w:pPr>
    <w:rPr>
      <w:position w:val="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5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2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50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1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0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42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LMB048E/hv1BHE88RO1z2LTtPA==">AMUW2mXFSXUdOYDwqq5a9KF9OpGbelk9vKJNS2B7hd5M3yw/Gx7KHa+TlnY4Kmdt+G2I1bURgX5efcuykxtESEfQ9stN0/Cw3Uq6Tg4NjwFoj/tkTKLsOH0=</go:docsCustomData>
</go:gDocsCustomXmlDataStorage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C7E40C-025A-410B-A4C5-76C2FBECB8FC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D5F0E8FC-EE6D-9A46-A770-D0D92B5487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1206F4-CFCF-4146-9D17-F3A4538C5C94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C879C435-E263-486E-9144-21FCB024C87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Barbara Wilk</dc:creator>
  <lastModifiedBy>Renata Czop</lastModifiedBy>
  <revision>7</revision>
  <dcterms:created xsi:type="dcterms:W3CDTF">2024-09-27T08:27:00.0000000Z</dcterms:created>
  <dcterms:modified xsi:type="dcterms:W3CDTF">2024-10-28T13:33:22.2512399Z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